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售后服务说明</w:t>
      </w:r>
    </w:p>
    <w:p>
      <w:r>
        <w:t>服务受理：记录设备信息、异常现象和影响范围。</w:t>
      </w:r>
    </w:p>
    <w:p>
      <w:r>
        <w:t>远程诊断：确认程序、机构、气电、视觉和工艺参数。</w:t>
      </w:r>
    </w:p>
    <w:p>
      <w:r>
        <w:t>现场支持：根据项目情况安排工程师处理。</w:t>
      </w:r>
    </w:p>
    <w:p>
      <w:r>
        <w:t>备件培训：提供备件建议、点检保养和操作培训。</w:t>
      </w:r>
    </w:p>
    <w:sectPr>
      <w:pgSz w:w="11906" w:h="16838"/>
      <w:pgMar w:top="1440" w:right="1440" w:bottom="1440" w:left="1440" w:header="708" w:footer="708" w:gutter="0"/>
    </w:sectPr>
  </w:body>
</w:document>
</file>